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4972D5">
        <w:tc>
          <w:tcPr>
            <w:tcW w:w="9209" w:type="dxa"/>
            <w:gridSpan w:val="4"/>
          </w:tcPr>
          <w:p w:rsidR="00FE388D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FE388D">
              <w:rPr>
                <w:b/>
                <w:sz w:val="20"/>
                <w:szCs w:val="20"/>
              </w:rPr>
              <w:t>Service funded from income/</w:t>
            </w:r>
            <w:r w:rsidR="001B6643">
              <w:rPr>
                <w:b/>
                <w:sz w:val="20"/>
                <w:szCs w:val="20"/>
              </w:rPr>
              <w:t>capital fees</w:t>
            </w:r>
            <w:r w:rsidR="001B6643" w:rsidRPr="002B630A">
              <w:rPr>
                <w:b/>
                <w:sz w:val="20"/>
                <w:szCs w:val="20"/>
              </w:rPr>
              <w:t xml:space="preserve">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</w:t>
            </w:r>
          </w:p>
          <w:p w:rsidR="001B6643" w:rsidRDefault="00B819B1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Template 5</w:t>
            </w:r>
          </w:p>
          <w:p w:rsidR="00D64925" w:rsidRPr="002B630A" w:rsidRDefault="005C340D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074</w:t>
            </w:r>
          </w:p>
        </w:tc>
      </w:tr>
      <w:tr w:rsidR="001B6643" w:rsidRPr="002B630A" w:rsidTr="00160DBC">
        <w:trPr>
          <w:trHeight w:val="951"/>
        </w:trPr>
        <w:tc>
          <w:tcPr>
            <w:tcW w:w="3397" w:type="dxa"/>
            <w:tcBorders>
              <w:bottom w:val="single" w:sz="4" w:space="0" w:color="auto"/>
            </w:tcBorders>
          </w:tcPr>
          <w:p w:rsidR="00D64925" w:rsidRDefault="001B6643" w:rsidP="009E0E1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E0E1B" w:rsidRPr="00CE09E5" w:rsidRDefault="00CE09E5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EARLY YEARS </w:t>
            </w:r>
            <w:r w:rsidR="00366E3D">
              <w:rPr>
                <w:rFonts w:ascii="Calibri" w:hAnsi="Calibri"/>
                <w:color w:val="000000"/>
              </w:rPr>
              <w:t xml:space="preserve">TEACHER TEAM </w:t>
            </w:r>
            <w:r w:rsidR="00296BEF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TRADED</w:t>
            </w:r>
            <w:r w:rsidR="00296BEF">
              <w:rPr>
                <w:rFonts w:ascii="Calibri" w:hAnsi="Calibri"/>
                <w:color w:val="000000"/>
              </w:rPr>
              <w:t xml:space="preserve"> (BBR 025)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6A21C1" w:rsidRPr="00160DBC" w:rsidRDefault="009E0E1B" w:rsidP="00A66694">
            <w:pPr>
              <w:rPr>
                <w:sz w:val="20"/>
                <w:szCs w:val="20"/>
              </w:rPr>
            </w:pPr>
            <w:r w:rsidRPr="00143BA9">
              <w:rPr>
                <w:sz w:val="20"/>
                <w:szCs w:val="20"/>
              </w:rPr>
              <w:t>Service description</w:t>
            </w:r>
            <w:r w:rsidR="00160DBC">
              <w:rPr>
                <w:sz w:val="20"/>
                <w:szCs w:val="20"/>
              </w:rPr>
              <w:t xml:space="preserve"> – please </w:t>
            </w:r>
            <w:r w:rsidR="00A66694">
              <w:rPr>
                <w:sz w:val="20"/>
                <w:szCs w:val="20"/>
              </w:rPr>
              <w:t>below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0B35AA" w:rsidRPr="002B630A" w:rsidTr="006407A1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0B35AA" w:rsidRPr="004D588F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</w:tr>
      <w:tr w:rsidR="000B35AA" w:rsidRPr="002B630A" w:rsidTr="006407A1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</w:tr>
      <w:tr w:rsidR="000B35AA" w:rsidRPr="002B630A" w:rsidTr="006407A1">
        <w:tc>
          <w:tcPr>
            <w:tcW w:w="3397" w:type="dxa"/>
            <w:shd w:val="clear" w:color="auto" w:fill="D9D9D9" w:themeFill="background1" w:themeFillShade="D9"/>
          </w:tcPr>
          <w:p w:rsidR="000B35AA" w:rsidRDefault="000B35AA" w:rsidP="000B35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35AA" w:rsidRPr="002B630A" w:rsidTr="006407A1">
        <w:tc>
          <w:tcPr>
            <w:tcW w:w="3397" w:type="dxa"/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</w:p>
        </w:tc>
      </w:tr>
      <w:tr w:rsidR="000B35AA" w:rsidRPr="002B630A" w:rsidTr="006407A1">
        <w:tc>
          <w:tcPr>
            <w:tcW w:w="3397" w:type="dxa"/>
            <w:tcBorders>
              <w:right w:val="single" w:sz="4" w:space="0" w:color="auto"/>
            </w:tcBorders>
          </w:tcPr>
          <w:p w:rsidR="000B35AA" w:rsidRPr="00EA1D7C" w:rsidRDefault="000B35AA" w:rsidP="000B35AA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shd w:val="clear" w:color="auto" w:fill="auto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right w:val="single" w:sz="4" w:space="0" w:color="auto"/>
            </w:tcBorders>
          </w:tcPr>
          <w:p w:rsidR="000B35AA" w:rsidRPr="00EA1D7C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shd w:val="clear" w:color="auto" w:fill="auto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1984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-0.001</w:t>
            </w:r>
          </w:p>
        </w:tc>
      </w:tr>
      <w:tr w:rsidR="000B35AA" w:rsidRPr="002B630A" w:rsidTr="006407A1">
        <w:tc>
          <w:tcPr>
            <w:tcW w:w="3397" w:type="dxa"/>
            <w:tcBorders>
              <w:right w:val="single" w:sz="4" w:space="0" w:color="auto"/>
            </w:tcBorders>
          </w:tcPr>
          <w:p w:rsidR="000B35AA" w:rsidRPr="004D588F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35AA" w:rsidRPr="00C76C67" w:rsidRDefault="000B35AA" w:rsidP="000B35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0.322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0.322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shd w:val="clear" w:color="auto" w:fill="auto"/>
          </w:tcPr>
          <w:p w:rsidR="000B35AA" w:rsidRPr="007B2C06" w:rsidRDefault="000B35AA" w:rsidP="000B3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35AA" w:rsidRPr="007B2C06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-0.062</w:t>
            </w:r>
          </w:p>
        </w:tc>
        <w:tc>
          <w:tcPr>
            <w:tcW w:w="1984" w:type="dxa"/>
            <w:shd w:val="clear" w:color="auto" w:fill="auto"/>
          </w:tcPr>
          <w:p w:rsidR="000B35AA" w:rsidRPr="007B2C06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-0.062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which:      </w:t>
            </w:r>
          </w:p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cost reduction target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income target</w:t>
            </w:r>
          </w:p>
        </w:tc>
        <w:tc>
          <w:tcPr>
            <w:tcW w:w="1843" w:type="dxa"/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35AA" w:rsidRPr="00C76C67" w:rsidRDefault="000B35AA" w:rsidP="000B35AA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0.260</w:t>
            </w:r>
          </w:p>
        </w:tc>
      </w:tr>
      <w:tr w:rsidR="000B35AA" w:rsidRPr="002B630A" w:rsidTr="006407A1">
        <w:tc>
          <w:tcPr>
            <w:tcW w:w="3397" w:type="dxa"/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0B35AA" w:rsidRPr="004D588F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0.000</w:t>
            </w:r>
          </w:p>
        </w:tc>
      </w:tr>
      <w:tr w:rsidR="001B6643" w:rsidRPr="002B630A" w:rsidTr="00FE388D">
        <w:trPr>
          <w:trHeight w:val="1365"/>
        </w:trPr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A06555" w:rsidRDefault="006E3285" w:rsidP="00AE3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</w:t>
            </w:r>
            <w:r w:rsidR="00A06555" w:rsidRPr="00AE30B2">
              <w:rPr>
                <w:sz w:val="20"/>
                <w:szCs w:val="20"/>
              </w:rPr>
              <w:t>o reduce</w:t>
            </w:r>
            <w:r w:rsidR="00B2348F" w:rsidRPr="00AE30B2">
              <w:rPr>
                <w:sz w:val="20"/>
                <w:szCs w:val="20"/>
              </w:rPr>
              <w:t xml:space="preserve"> funding </w:t>
            </w:r>
            <w:r w:rsidR="00A06555" w:rsidRPr="00AE30B2">
              <w:rPr>
                <w:sz w:val="20"/>
                <w:szCs w:val="20"/>
              </w:rPr>
              <w:t xml:space="preserve">for the monitoring, </w:t>
            </w:r>
            <w:r w:rsidR="00B2348F" w:rsidRPr="00AE30B2">
              <w:rPr>
                <w:sz w:val="20"/>
                <w:szCs w:val="20"/>
              </w:rPr>
              <w:t xml:space="preserve">challenge </w:t>
            </w:r>
            <w:r w:rsidR="00A06555" w:rsidRPr="00AE30B2">
              <w:rPr>
                <w:sz w:val="20"/>
                <w:szCs w:val="20"/>
              </w:rPr>
              <w:t xml:space="preserve">and support </w:t>
            </w:r>
            <w:r w:rsidR="00B2348F" w:rsidRPr="00AE30B2">
              <w:rPr>
                <w:sz w:val="20"/>
                <w:szCs w:val="20"/>
              </w:rPr>
              <w:t>function for early years settings</w:t>
            </w:r>
            <w:r w:rsidR="00153578" w:rsidRPr="00AE30B2">
              <w:rPr>
                <w:sz w:val="20"/>
                <w:szCs w:val="20"/>
              </w:rPr>
              <w:t xml:space="preserve"> from 1 April 2017.</w:t>
            </w:r>
          </w:p>
          <w:p w:rsidR="00BE73F8" w:rsidRPr="00AE30B2" w:rsidRDefault="00BE73F8" w:rsidP="00AE30B2">
            <w:pPr>
              <w:rPr>
                <w:sz w:val="20"/>
                <w:szCs w:val="20"/>
              </w:rPr>
            </w:pPr>
          </w:p>
          <w:p w:rsidR="00964637" w:rsidRPr="00AE30B2" w:rsidRDefault="006E3285" w:rsidP="009B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  <w:r w:rsidR="00AE30B2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progress</w:t>
            </w:r>
            <w:r w:rsidR="00AE30B2">
              <w:rPr>
                <w:sz w:val="20"/>
                <w:szCs w:val="20"/>
              </w:rPr>
              <w:t xml:space="preserve"> t</w:t>
            </w:r>
            <w:r w:rsidR="00A06555" w:rsidRPr="00AE30B2">
              <w:rPr>
                <w:sz w:val="20"/>
                <w:szCs w:val="20"/>
              </w:rPr>
              <w:t>he further development of a traded service</w:t>
            </w:r>
            <w:r w:rsidR="009B0789">
              <w:rPr>
                <w:sz w:val="20"/>
                <w:szCs w:val="20"/>
              </w:rPr>
              <w:t xml:space="preserve"> to support early years settings</w:t>
            </w:r>
          </w:p>
        </w:tc>
      </w:tr>
      <w:tr w:rsidR="001B6643" w:rsidRPr="002B630A" w:rsidTr="00FE388D">
        <w:trPr>
          <w:trHeight w:val="1269"/>
        </w:trPr>
        <w:tc>
          <w:tcPr>
            <w:tcW w:w="3397" w:type="dxa"/>
          </w:tcPr>
          <w:p w:rsidR="001B6643" w:rsidRPr="008F4651" w:rsidRDefault="001B6643" w:rsidP="004972D5">
            <w:pPr>
              <w:rPr>
                <w:sz w:val="20"/>
                <w:szCs w:val="20"/>
              </w:rPr>
            </w:pPr>
            <w:r w:rsidRPr="008F4651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9B60C7" w:rsidRPr="008F4651" w:rsidRDefault="008F4651" w:rsidP="00BE73F8">
            <w:pPr>
              <w:rPr>
                <w:rFonts w:cs="Arial"/>
                <w:sz w:val="20"/>
                <w:szCs w:val="20"/>
              </w:rPr>
            </w:pPr>
            <w:r w:rsidRPr="008F4651">
              <w:rPr>
                <w:rFonts w:cs="Arial"/>
                <w:sz w:val="20"/>
                <w:szCs w:val="20"/>
              </w:rPr>
              <w:t xml:space="preserve">There is a risk that a reduction in the service </w:t>
            </w:r>
            <w:r w:rsidR="00BE73F8">
              <w:rPr>
                <w:rFonts w:cs="Arial"/>
                <w:sz w:val="20"/>
                <w:szCs w:val="20"/>
              </w:rPr>
              <w:t>could lead to</w:t>
            </w:r>
            <w:r w:rsidRPr="008F4651">
              <w:rPr>
                <w:rFonts w:cs="Arial"/>
                <w:sz w:val="20"/>
                <w:szCs w:val="20"/>
              </w:rPr>
              <w:t xml:space="preserve"> an increase in the number of settings judged to require improvement or to be inadequate and this would limit the Free Early Educ</w:t>
            </w:r>
            <w:r w:rsidR="00BE73F8">
              <w:rPr>
                <w:rFonts w:cs="Arial"/>
                <w:sz w:val="20"/>
                <w:szCs w:val="20"/>
              </w:rPr>
              <w:t xml:space="preserve">ation offer in some communities, </w:t>
            </w:r>
            <w:r w:rsidRPr="008F4651">
              <w:rPr>
                <w:rFonts w:cs="Arial"/>
                <w:sz w:val="20"/>
                <w:szCs w:val="20"/>
              </w:rPr>
              <w:t xml:space="preserve">as we do not fund </w:t>
            </w:r>
            <w:r w:rsidR="00685070">
              <w:rPr>
                <w:rFonts w:cs="Arial"/>
                <w:sz w:val="20"/>
                <w:szCs w:val="20"/>
              </w:rPr>
              <w:t xml:space="preserve">2, </w:t>
            </w:r>
            <w:r w:rsidRPr="008F4651">
              <w:rPr>
                <w:rFonts w:cs="Arial"/>
                <w:sz w:val="20"/>
                <w:szCs w:val="20"/>
              </w:rPr>
              <w:t>3 and 4 year old places in inadequate settings</w:t>
            </w:r>
          </w:p>
        </w:tc>
      </w:tr>
      <w:tr w:rsidR="001B6643" w:rsidRPr="002B630A" w:rsidTr="00FE388D">
        <w:trPr>
          <w:trHeight w:val="2537"/>
        </w:trPr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153578" w:rsidRDefault="00153578" w:rsidP="00A06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06555">
              <w:rPr>
                <w:sz w:val="20"/>
                <w:szCs w:val="20"/>
              </w:rPr>
              <w:t>educe funding for the monitoring, challenge and support function for early years settings</w:t>
            </w:r>
            <w:r>
              <w:rPr>
                <w:sz w:val="20"/>
                <w:szCs w:val="20"/>
              </w:rPr>
              <w:t xml:space="preserve"> from 1 April 2017</w:t>
            </w:r>
          </w:p>
          <w:p w:rsidR="00BE73F8" w:rsidRDefault="00BE73F8" w:rsidP="00A06555">
            <w:pPr>
              <w:rPr>
                <w:sz w:val="20"/>
                <w:szCs w:val="20"/>
              </w:rPr>
            </w:pPr>
          </w:p>
          <w:p w:rsidR="00BE73F8" w:rsidRDefault="00BE73F8" w:rsidP="00A06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the traded service offer by 31</w:t>
            </w:r>
            <w:r w:rsidRPr="00BE73F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2016</w:t>
            </w:r>
          </w:p>
          <w:p w:rsidR="00153578" w:rsidRDefault="00153578" w:rsidP="00A06555">
            <w:pPr>
              <w:rPr>
                <w:sz w:val="20"/>
                <w:szCs w:val="20"/>
              </w:rPr>
            </w:pPr>
          </w:p>
          <w:p w:rsidR="00BE73F8" w:rsidRDefault="00BE73F8" w:rsidP="00A06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 the service and consult on the proposal / structure July 2017</w:t>
            </w:r>
          </w:p>
          <w:p w:rsidR="00BE73F8" w:rsidRDefault="00BE73F8" w:rsidP="00BE73F8">
            <w:pPr>
              <w:rPr>
                <w:sz w:val="20"/>
                <w:szCs w:val="20"/>
              </w:rPr>
            </w:pPr>
          </w:p>
          <w:p w:rsidR="00685070" w:rsidRPr="00BE73F8" w:rsidRDefault="00BE73F8" w:rsidP="00FE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 w:rsidR="001028EC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2016.</w:t>
            </w:r>
          </w:p>
        </w:tc>
      </w:tr>
      <w:tr w:rsidR="00E32D62" w:rsidRPr="002B630A" w:rsidTr="00FE388D">
        <w:trPr>
          <w:trHeight w:val="404"/>
        </w:trPr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4777AE" w:rsidRPr="00834B6B" w:rsidRDefault="00857E1E" w:rsidP="00AE30B2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CC3BE4">
                <w:rPr>
                  <w:rStyle w:val="Hyperlink"/>
                  <w:sz w:val="20"/>
                  <w:szCs w:val="20"/>
                </w:rPr>
                <w:t>Click here to vie</w:t>
              </w:r>
              <w:bookmarkStart w:id="0" w:name="_GoBack"/>
              <w:bookmarkEnd w:id="0"/>
              <w:r w:rsidR="00CC3BE4">
                <w:rPr>
                  <w:rStyle w:val="Hyperlink"/>
                  <w:sz w:val="20"/>
                  <w:szCs w:val="20"/>
                </w:rPr>
                <w:t>w</w:t>
              </w:r>
              <w:r w:rsidR="00CC3BE4">
                <w:rPr>
                  <w:rStyle w:val="Hyperlink"/>
                  <w:sz w:val="20"/>
                  <w:szCs w:val="20"/>
                </w:rPr>
                <w:t xml:space="preserve"> document</w:t>
              </w:r>
            </w:hyperlink>
          </w:p>
        </w:tc>
      </w:tr>
    </w:tbl>
    <w:p w:rsidR="00874ED3" w:rsidRPr="00874ED3" w:rsidRDefault="00874ED3" w:rsidP="009E0E1B">
      <w:pPr>
        <w:rPr>
          <w:b/>
          <w:sz w:val="12"/>
        </w:rPr>
      </w:pPr>
    </w:p>
    <w:p w:rsidR="00160DBC" w:rsidRPr="00160DBC" w:rsidRDefault="00160DBC" w:rsidP="009E0E1B">
      <w:pPr>
        <w:rPr>
          <w:b/>
        </w:rPr>
      </w:pPr>
      <w:r w:rsidRPr="00160DBC">
        <w:rPr>
          <w:b/>
        </w:rPr>
        <w:t>Service description</w:t>
      </w:r>
    </w:p>
    <w:p w:rsidR="00160DBC" w:rsidRDefault="00160DBC" w:rsidP="00160DBC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A21C1">
        <w:rPr>
          <w:rFonts w:cs="Arial"/>
          <w:sz w:val="20"/>
          <w:szCs w:val="20"/>
        </w:rPr>
        <w:t xml:space="preserve">Support for the development of maintained early years providers; and private, voluntary and independent (PVI) settings to support the provision of sufficient high quality childcare </w:t>
      </w:r>
    </w:p>
    <w:p w:rsidR="00160DBC" w:rsidRPr="00874ED3" w:rsidRDefault="00160DBC" w:rsidP="00160DBC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160DBC">
        <w:rPr>
          <w:rFonts w:cs="Arial"/>
          <w:sz w:val="20"/>
          <w:szCs w:val="20"/>
        </w:rPr>
        <w:t>Monitoring and challenge function for early years settings</w:t>
      </w:r>
    </w:p>
    <w:sectPr w:rsidR="00160DBC" w:rsidRPr="00874ED3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B25"/>
    <w:multiLevelType w:val="hybridMultilevel"/>
    <w:tmpl w:val="86E6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F7D"/>
    <w:multiLevelType w:val="hybridMultilevel"/>
    <w:tmpl w:val="FD020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65EE2"/>
    <w:multiLevelType w:val="hybridMultilevel"/>
    <w:tmpl w:val="979C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6CB"/>
    <w:multiLevelType w:val="hybridMultilevel"/>
    <w:tmpl w:val="E4229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962D6"/>
    <w:multiLevelType w:val="hybridMultilevel"/>
    <w:tmpl w:val="D8FCF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A3FB1"/>
    <w:multiLevelType w:val="hybridMultilevel"/>
    <w:tmpl w:val="307A0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3782A"/>
    <w:multiLevelType w:val="hybridMultilevel"/>
    <w:tmpl w:val="7B94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B35AA"/>
    <w:rsid w:val="000D48EA"/>
    <w:rsid w:val="000E21C6"/>
    <w:rsid w:val="001028EC"/>
    <w:rsid w:val="00143BA9"/>
    <w:rsid w:val="00144CA6"/>
    <w:rsid w:val="00153578"/>
    <w:rsid w:val="00160DBC"/>
    <w:rsid w:val="001774BD"/>
    <w:rsid w:val="001B6643"/>
    <w:rsid w:val="001C156F"/>
    <w:rsid w:val="001E172B"/>
    <w:rsid w:val="00235A64"/>
    <w:rsid w:val="00241D35"/>
    <w:rsid w:val="00280EFB"/>
    <w:rsid w:val="0028266C"/>
    <w:rsid w:val="00296BEF"/>
    <w:rsid w:val="002A3E9F"/>
    <w:rsid w:val="002B630A"/>
    <w:rsid w:val="002F6F8C"/>
    <w:rsid w:val="00366E3D"/>
    <w:rsid w:val="003869AC"/>
    <w:rsid w:val="00411DA3"/>
    <w:rsid w:val="00443967"/>
    <w:rsid w:val="00452C66"/>
    <w:rsid w:val="00464F42"/>
    <w:rsid w:val="004777AE"/>
    <w:rsid w:val="00486267"/>
    <w:rsid w:val="00487F0F"/>
    <w:rsid w:val="004C3B3B"/>
    <w:rsid w:val="004D588F"/>
    <w:rsid w:val="004E121B"/>
    <w:rsid w:val="005957E5"/>
    <w:rsid w:val="005B295C"/>
    <w:rsid w:val="005B386D"/>
    <w:rsid w:val="005C340D"/>
    <w:rsid w:val="005C3A55"/>
    <w:rsid w:val="00604C13"/>
    <w:rsid w:val="0064633C"/>
    <w:rsid w:val="0065624A"/>
    <w:rsid w:val="0066742C"/>
    <w:rsid w:val="00685070"/>
    <w:rsid w:val="00692710"/>
    <w:rsid w:val="0069592C"/>
    <w:rsid w:val="006A21C1"/>
    <w:rsid w:val="006B2CE0"/>
    <w:rsid w:val="006E3285"/>
    <w:rsid w:val="006F35E8"/>
    <w:rsid w:val="006F58CE"/>
    <w:rsid w:val="00703245"/>
    <w:rsid w:val="00711875"/>
    <w:rsid w:val="00716A4F"/>
    <w:rsid w:val="00730D0B"/>
    <w:rsid w:val="007467AF"/>
    <w:rsid w:val="007D00B0"/>
    <w:rsid w:val="007D2F78"/>
    <w:rsid w:val="007D6CED"/>
    <w:rsid w:val="007E7848"/>
    <w:rsid w:val="008039DA"/>
    <w:rsid w:val="008252EB"/>
    <w:rsid w:val="00834B6B"/>
    <w:rsid w:val="00846A4F"/>
    <w:rsid w:val="00857E1E"/>
    <w:rsid w:val="00874ED3"/>
    <w:rsid w:val="008E30D2"/>
    <w:rsid w:val="008F4651"/>
    <w:rsid w:val="009304C0"/>
    <w:rsid w:val="00964637"/>
    <w:rsid w:val="009B0789"/>
    <w:rsid w:val="009B60C7"/>
    <w:rsid w:val="009C4647"/>
    <w:rsid w:val="009E0E1B"/>
    <w:rsid w:val="009E2D95"/>
    <w:rsid w:val="00A06555"/>
    <w:rsid w:val="00A33171"/>
    <w:rsid w:val="00A61F59"/>
    <w:rsid w:val="00A66694"/>
    <w:rsid w:val="00A91829"/>
    <w:rsid w:val="00AE14AD"/>
    <w:rsid w:val="00AE30B2"/>
    <w:rsid w:val="00AE7339"/>
    <w:rsid w:val="00B2348F"/>
    <w:rsid w:val="00B25405"/>
    <w:rsid w:val="00B26FCE"/>
    <w:rsid w:val="00B325D0"/>
    <w:rsid w:val="00B819B1"/>
    <w:rsid w:val="00BE1BC0"/>
    <w:rsid w:val="00BE44C4"/>
    <w:rsid w:val="00BE73F8"/>
    <w:rsid w:val="00BF69D1"/>
    <w:rsid w:val="00C116C8"/>
    <w:rsid w:val="00C3384B"/>
    <w:rsid w:val="00C47DE3"/>
    <w:rsid w:val="00C50F5C"/>
    <w:rsid w:val="00C76C67"/>
    <w:rsid w:val="00C844FA"/>
    <w:rsid w:val="00CA10C4"/>
    <w:rsid w:val="00CA2B52"/>
    <w:rsid w:val="00CB7956"/>
    <w:rsid w:val="00CC0E81"/>
    <w:rsid w:val="00CC3BE4"/>
    <w:rsid w:val="00CE09E5"/>
    <w:rsid w:val="00D64925"/>
    <w:rsid w:val="00D91624"/>
    <w:rsid w:val="00E11356"/>
    <w:rsid w:val="00E15941"/>
    <w:rsid w:val="00E17B81"/>
    <w:rsid w:val="00E32D62"/>
    <w:rsid w:val="00E56AA9"/>
    <w:rsid w:val="00EA1D7C"/>
    <w:rsid w:val="00EA30A4"/>
    <w:rsid w:val="00F05BB5"/>
    <w:rsid w:val="00F15B60"/>
    <w:rsid w:val="00F26FCF"/>
    <w:rsid w:val="00F679F6"/>
    <w:rsid w:val="00F67BFD"/>
    <w:rsid w:val="00F77D3B"/>
    <w:rsid w:val="00F9314E"/>
    <w:rsid w:val="00FA6D71"/>
    <w:rsid w:val="00FA744B"/>
    <w:rsid w:val="00FB61AD"/>
    <w:rsid w:val="00FB75C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21C1"/>
  </w:style>
  <w:style w:type="character" w:styleId="Hyperlink">
    <w:name w:val="Hyperlink"/>
    <w:basedOn w:val="DefaultParagraphFont"/>
    <w:uiPriority w:val="99"/>
    <w:semiHidden/>
    <w:unhideWhenUsed/>
    <w:rsid w:val="00CC3B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32&amp;ID=1432&amp;RPID=7645142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DC7E-DC2A-4C1E-B3C9-59D6A2C6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43</cp:revision>
  <cp:lastPrinted>2015-09-22T10:58:00Z</cp:lastPrinted>
  <dcterms:created xsi:type="dcterms:W3CDTF">2015-10-14T10:19:00Z</dcterms:created>
  <dcterms:modified xsi:type="dcterms:W3CDTF">2015-11-16T15:33:00Z</dcterms:modified>
</cp:coreProperties>
</file>